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285523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29F4C13F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F87F12">
        <w:rPr>
          <w:b/>
          <w:sz w:val="20"/>
          <w:szCs w:val="20"/>
        </w:rPr>
        <w:t>0</w:t>
      </w:r>
      <w:r w:rsidR="005F6A3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.0</w:t>
      </w:r>
      <w:r w:rsidR="00F87F1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6602344E" w14:textId="77777777" w:rsidR="00D2440F" w:rsidRPr="00E43B69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 w:rsidRPr="00E43B69">
        <w:rPr>
          <w:rFonts w:cs="Calibri"/>
          <w:b/>
          <w:bCs/>
          <w:sz w:val="28"/>
          <w:szCs w:val="28"/>
        </w:rPr>
        <w:t>Sektor faktoringowy notuje wzrosty niewspółmierne do potencjału rynku</w:t>
      </w:r>
    </w:p>
    <w:p w14:paraId="6BA1E865" w14:textId="77777777" w:rsidR="00511FA8" w:rsidRDefault="00511FA8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5526EB24" w14:textId="3A4F3E8B" w:rsidR="00D2440F" w:rsidRP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D2440F">
        <w:rPr>
          <w:rFonts w:cs="Calibri"/>
          <w:b/>
          <w:bCs/>
          <w:sz w:val="24"/>
          <w:szCs w:val="24"/>
        </w:rPr>
        <w:t>Realne zapotrzebowanie na instrumenty finansowe wspierające płynność przedsiębiorstwa</w:t>
      </w:r>
      <w:r w:rsidR="00F17CA1">
        <w:rPr>
          <w:rFonts w:cs="Calibri"/>
          <w:b/>
          <w:bCs/>
          <w:sz w:val="24"/>
          <w:szCs w:val="24"/>
        </w:rPr>
        <w:t>,</w:t>
      </w:r>
      <w:r w:rsidRPr="00D2440F">
        <w:rPr>
          <w:rFonts w:cs="Calibri"/>
          <w:b/>
          <w:bCs/>
          <w:sz w:val="24"/>
          <w:szCs w:val="24"/>
        </w:rPr>
        <w:t xml:space="preserve"> z uwagi na czynniki gospodarcze i rosnącą inflację</w:t>
      </w:r>
      <w:r w:rsidR="00F17CA1">
        <w:rPr>
          <w:rFonts w:cs="Calibri"/>
          <w:b/>
          <w:bCs/>
          <w:sz w:val="24"/>
          <w:szCs w:val="24"/>
        </w:rPr>
        <w:t>,</w:t>
      </w:r>
      <w:r w:rsidRPr="00D2440F">
        <w:rPr>
          <w:rFonts w:cs="Calibri"/>
          <w:b/>
          <w:bCs/>
          <w:sz w:val="24"/>
          <w:szCs w:val="24"/>
        </w:rPr>
        <w:t xml:space="preserve"> stale rośnie. Polskie biznesy odczuwają kłopoty z terminową obsługą zobowiązań, a w razie ich kumulacji, znaczna część – głównie podmiotów z segmentu MŚP, świadomie przesuwa część płatności na późniejszy termin. Historycznie wysoka inflacja powoduje natomiast zwiększenie zapotrzebowania na kapitał obrotowy, w związku z tym portfel faktoringowy rośnie, choćby przez sam fakt wzrostu wartości wystawianych faktur. </w:t>
      </w:r>
    </w:p>
    <w:p w14:paraId="5117AC87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44298D4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054CBC">
        <w:rPr>
          <w:rFonts w:cs="Calibri"/>
          <w:sz w:val="24"/>
          <w:szCs w:val="24"/>
        </w:rPr>
        <w:t>Z uwagi na spowolnienie gospodarcze</w:t>
      </w:r>
      <w:r>
        <w:rPr>
          <w:rFonts w:cs="Calibri"/>
          <w:sz w:val="24"/>
          <w:szCs w:val="24"/>
        </w:rPr>
        <w:t>,</w:t>
      </w:r>
      <w:r w:rsidRPr="00054CBC">
        <w:rPr>
          <w:rFonts w:cs="Calibri"/>
          <w:sz w:val="24"/>
          <w:szCs w:val="24"/>
        </w:rPr>
        <w:t xml:space="preserve"> można zaobserwować także istotne ograniczenie zakupów, co przekłada się na wydłużone terminy płatności. </w:t>
      </w:r>
      <w:r>
        <w:rPr>
          <w:rFonts w:cs="Calibri"/>
          <w:sz w:val="24"/>
          <w:szCs w:val="24"/>
        </w:rPr>
        <w:t xml:space="preserve">W </w:t>
      </w:r>
      <w:r w:rsidRPr="00054CBC">
        <w:rPr>
          <w:rFonts w:cs="Calibri"/>
          <w:sz w:val="24"/>
          <w:szCs w:val="24"/>
        </w:rPr>
        <w:t>obliczu mocno niekorzystnej koniunktury gospodarczej</w:t>
      </w:r>
      <w:r>
        <w:rPr>
          <w:rFonts w:cs="Calibri"/>
          <w:sz w:val="24"/>
          <w:szCs w:val="24"/>
        </w:rPr>
        <w:t>,</w:t>
      </w:r>
      <w:r w:rsidRPr="00054C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 w:rsidRPr="00054CBC">
        <w:rPr>
          <w:rFonts w:cs="Calibri"/>
          <w:sz w:val="24"/>
          <w:szCs w:val="24"/>
        </w:rPr>
        <w:t>inansowanie bieżącej działalności i dostęp do kapitału obrotowego</w:t>
      </w:r>
      <w:r>
        <w:rPr>
          <w:rFonts w:cs="Calibri"/>
          <w:sz w:val="24"/>
          <w:szCs w:val="24"/>
        </w:rPr>
        <w:t xml:space="preserve"> to</w:t>
      </w:r>
      <w:r w:rsidRPr="00054CBC">
        <w:rPr>
          <w:rFonts w:cs="Calibri"/>
          <w:sz w:val="24"/>
          <w:szCs w:val="24"/>
        </w:rPr>
        <w:t xml:space="preserve"> istotny wkład</w:t>
      </w:r>
      <w:r>
        <w:rPr>
          <w:rFonts w:cs="Calibri"/>
          <w:sz w:val="24"/>
          <w:szCs w:val="24"/>
        </w:rPr>
        <w:t>, jaki niesie</w:t>
      </w:r>
      <w:r w:rsidRPr="00054CBC">
        <w:rPr>
          <w:rFonts w:cs="Calibri"/>
          <w:sz w:val="24"/>
          <w:szCs w:val="24"/>
        </w:rPr>
        <w:t xml:space="preserve"> faktoring w rozwój biznesu. </w:t>
      </w:r>
      <w:r>
        <w:rPr>
          <w:rFonts w:cs="Calibri"/>
          <w:sz w:val="24"/>
          <w:szCs w:val="24"/>
        </w:rPr>
        <w:t>Jest to</w:t>
      </w:r>
      <w:r w:rsidRPr="00054C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„</w:t>
      </w:r>
      <w:r w:rsidRPr="00054CBC">
        <w:rPr>
          <w:rFonts w:cs="Calibri"/>
          <w:sz w:val="24"/>
          <w:szCs w:val="24"/>
        </w:rPr>
        <w:t>dobre narzędzie na złe czasy</w:t>
      </w:r>
      <w:r>
        <w:rPr>
          <w:rFonts w:cs="Calibri"/>
          <w:sz w:val="24"/>
          <w:szCs w:val="24"/>
        </w:rPr>
        <w:t>”</w:t>
      </w:r>
      <w:r w:rsidRPr="00054CBC">
        <w:rPr>
          <w:rFonts w:cs="Calibri"/>
          <w:sz w:val="24"/>
          <w:szCs w:val="24"/>
        </w:rPr>
        <w:t>, jednak wysokie koszty pozyskania finansowania dla samej firmy faktoringowej nie pozwala</w:t>
      </w:r>
      <w:r>
        <w:rPr>
          <w:rFonts w:cs="Calibri"/>
          <w:sz w:val="24"/>
          <w:szCs w:val="24"/>
        </w:rPr>
        <w:t>ją</w:t>
      </w:r>
      <w:r w:rsidRPr="00054CBC">
        <w:rPr>
          <w:rFonts w:cs="Calibri"/>
          <w:sz w:val="24"/>
          <w:szCs w:val="24"/>
        </w:rPr>
        <w:t xml:space="preserve"> stawiać tezy, że jest to branża </w:t>
      </w:r>
      <w:r>
        <w:rPr>
          <w:rFonts w:cs="Calibri"/>
          <w:sz w:val="24"/>
          <w:szCs w:val="24"/>
        </w:rPr>
        <w:t>czerpiąca korzyści</w:t>
      </w:r>
      <w:r w:rsidRPr="00054C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ze</w:t>
      </w:r>
      <w:r w:rsidRPr="00054CBC">
        <w:rPr>
          <w:rFonts w:cs="Calibri"/>
          <w:sz w:val="24"/>
          <w:szCs w:val="24"/>
        </w:rPr>
        <w:t xml:space="preserve"> złej kondycji gospodarki. Podmioty oferujące usługi faktoringowe finansują swoją działalność</w:t>
      </w:r>
      <w:r>
        <w:rPr>
          <w:rFonts w:cs="Calibri"/>
          <w:sz w:val="24"/>
          <w:szCs w:val="24"/>
        </w:rPr>
        <w:t xml:space="preserve"> nie</w:t>
      </w:r>
      <w:r w:rsidRPr="00054C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oparciu o </w:t>
      </w:r>
      <w:r w:rsidRPr="00054CBC">
        <w:rPr>
          <w:rFonts w:cs="Calibri"/>
          <w:sz w:val="24"/>
          <w:szCs w:val="24"/>
        </w:rPr>
        <w:t>depozyt</w:t>
      </w:r>
      <w:r>
        <w:rPr>
          <w:rFonts w:cs="Calibri"/>
          <w:sz w:val="24"/>
          <w:szCs w:val="24"/>
        </w:rPr>
        <w:t>y</w:t>
      </w:r>
      <w:r w:rsidRPr="00054CBC">
        <w:rPr>
          <w:rFonts w:cs="Calibri"/>
          <w:sz w:val="24"/>
          <w:szCs w:val="24"/>
        </w:rPr>
        <w:t>, a kredyt</w:t>
      </w:r>
      <w:r>
        <w:rPr>
          <w:rFonts w:cs="Calibri"/>
          <w:sz w:val="24"/>
          <w:szCs w:val="24"/>
        </w:rPr>
        <w:t>y</w:t>
      </w:r>
      <w:r w:rsidRPr="00054CBC">
        <w:rPr>
          <w:rFonts w:cs="Calibri"/>
          <w:sz w:val="24"/>
          <w:szCs w:val="24"/>
        </w:rPr>
        <w:t xml:space="preserve">, a obecne koszty pozyskania </w:t>
      </w:r>
      <w:r>
        <w:rPr>
          <w:rFonts w:cs="Calibri"/>
          <w:sz w:val="24"/>
          <w:szCs w:val="24"/>
        </w:rPr>
        <w:t>polskiej waluty</w:t>
      </w:r>
      <w:r w:rsidRPr="00054CBC">
        <w:rPr>
          <w:rFonts w:cs="Calibri"/>
          <w:sz w:val="24"/>
          <w:szCs w:val="24"/>
        </w:rPr>
        <w:t xml:space="preserve"> są relatywnie wysokie z uwagi na wysokie stopy procentowe. </w:t>
      </w:r>
    </w:p>
    <w:p w14:paraId="06239860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7CD807E9" w14:textId="61C8B078" w:rsidR="00D2440F" w:rsidRP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D2440F">
        <w:rPr>
          <w:rFonts w:cs="Calibri"/>
          <w:i/>
          <w:iCs/>
          <w:sz w:val="24"/>
          <w:szCs w:val="24"/>
        </w:rPr>
        <w:t>Na gorszą zdolność regulacji zobowiązań wpływają ostrożniejsze decyzje zakupowe i oszczędność konsumentów. Zapotrzebowanie na dodatkowy kapitał wrasta też proporcjonalnie w tych branżach, które notują wysoką konsumpcję coraz to droższej energii. Aby zrozumieć skalę wyhamowania koniunktury gospodarczej</w:t>
      </w:r>
      <w:r w:rsidR="00F87F12">
        <w:rPr>
          <w:rFonts w:cs="Calibri"/>
          <w:i/>
          <w:iCs/>
          <w:sz w:val="24"/>
          <w:szCs w:val="24"/>
        </w:rPr>
        <w:t>,</w:t>
      </w:r>
      <w:r w:rsidRPr="00D2440F">
        <w:rPr>
          <w:rFonts w:cs="Calibri"/>
          <w:i/>
          <w:iCs/>
          <w:sz w:val="24"/>
          <w:szCs w:val="24"/>
        </w:rPr>
        <w:t xml:space="preserve"> warto zwrócić uwagę, </w:t>
      </w:r>
      <w:r w:rsidR="00811EBB">
        <w:rPr>
          <w:rFonts w:cs="Calibri"/>
          <w:i/>
          <w:iCs/>
          <w:sz w:val="24"/>
          <w:szCs w:val="24"/>
        </w:rPr>
        <w:t>że w pierwszym kwartale 2023 r. rynek faktoringu w Polsce urósł o 8,4%</w:t>
      </w:r>
      <w:r w:rsidR="00F87F12">
        <w:rPr>
          <w:rFonts w:cs="Calibri"/>
          <w:i/>
          <w:iCs/>
          <w:sz w:val="24"/>
          <w:szCs w:val="24"/>
        </w:rPr>
        <w:t>,</w:t>
      </w:r>
      <w:r w:rsidR="00811EBB">
        <w:rPr>
          <w:rFonts w:cs="Calibri"/>
          <w:i/>
          <w:iCs/>
          <w:sz w:val="24"/>
          <w:szCs w:val="24"/>
        </w:rPr>
        <w:t xml:space="preserve"> podczas gdy cały 2022 rok zamknęliśmy wzrostem 26%</w:t>
      </w:r>
      <w:r>
        <w:rPr>
          <w:rFonts w:cs="Calibri"/>
          <w:sz w:val="24"/>
          <w:szCs w:val="24"/>
        </w:rPr>
        <w:t xml:space="preserve"> – mówi </w:t>
      </w:r>
      <w:r w:rsidR="00F87F12" w:rsidRPr="00F87F12">
        <w:rPr>
          <w:rFonts w:cs="Calibri"/>
          <w:b/>
          <w:bCs/>
          <w:sz w:val="24"/>
          <w:szCs w:val="24"/>
        </w:rPr>
        <w:t xml:space="preserve">Paweł Kacprzak, </w:t>
      </w:r>
      <w:r w:rsidR="00F87F12" w:rsidRPr="00F87F12">
        <w:rPr>
          <w:b/>
          <w:bCs/>
          <w:sz w:val="24"/>
          <w:szCs w:val="18"/>
        </w:rPr>
        <w:t>dyrektor biura rozwoju biznesu w</w:t>
      </w:r>
      <w:r w:rsidRPr="00F87F12">
        <w:rPr>
          <w:rFonts w:cs="Calibri"/>
          <w:b/>
          <w:bCs/>
          <w:sz w:val="24"/>
          <w:szCs w:val="24"/>
        </w:rPr>
        <w:t xml:space="preserve"> BNP Paribas Faktoring.</w:t>
      </w:r>
    </w:p>
    <w:p w14:paraId="59EDB210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C89D583" w14:textId="5C173168" w:rsidR="00D2440F" w:rsidRDefault="00811EBB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 względu na dużą różnicę w wysokości stóp procentowych dla złotówki i euro</w:t>
      </w:r>
      <w:r w:rsidR="00F87F1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b</w:t>
      </w:r>
      <w:r w:rsidR="00D2440F" w:rsidRPr="00054CBC">
        <w:rPr>
          <w:rFonts w:cs="Calibri"/>
          <w:sz w:val="24"/>
          <w:szCs w:val="24"/>
        </w:rPr>
        <w:t xml:space="preserve">ardziej korzystna jest </w:t>
      </w:r>
      <w:r w:rsidR="00D2440F">
        <w:rPr>
          <w:rFonts w:cs="Calibri"/>
          <w:sz w:val="24"/>
          <w:szCs w:val="24"/>
        </w:rPr>
        <w:t>na ten moment</w:t>
      </w:r>
      <w:r w:rsidR="00D2440F" w:rsidRPr="00054CBC">
        <w:rPr>
          <w:rFonts w:cs="Calibri"/>
          <w:sz w:val="24"/>
          <w:szCs w:val="24"/>
        </w:rPr>
        <w:t xml:space="preserve"> obsługa transakcji w euro, </w:t>
      </w:r>
      <w:r w:rsidR="00D2440F">
        <w:rPr>
          <w:rFonts w:cs="Calibri"/>
          <w:sz w:val="24"/>
          <w:szCs w:val="24"/>
        </w:rPr>
        <w:t>ponieważ</w:t>
      </w:r>
      <w:r w:rsidR="00D2440F" w:rsidRPr="00054CBC">
        <w:rPr>
          <w:rFonts w:cs="Calibri"/>
          <w:sz w:val="24"/>
          <w:szCs w:val="24"/>
        </w:rPr>
        <w:t xml:space="preserve"> ich koszt finansowania jest około dwukrotnie niższy niż faktur</w:t>
      </w:r>
      <w:r w:rsidR="00D2440F">
        <w:rPr>
          <w:rFonts w:cs="Calibri"/>
          <w:sz w:val="24"/>
          <w:szCs w:val="24"/>
        </w:rPr>
        <w:t xml:space="preserve"> wystawianych</w:t>
      </w:r>
      <w:r w:rsidR="00D2440F" w:rsidRPr="00054CBC">
        <w:rPr>
          <w:rFonts w:cs="Calibri"/>
          <w:sz w:val="24"/>
          <w:szCs w:val="24"/>
        </w:rPr>
        <w:t xml:space="preserve"> w złotówkach. Obniżki stóp procentowych mogłyby przyspieszyć wzrost sektora faktoringowego, jednak w 2023 roku luzowanie polityki monetarnej jest mało prawdopodobne. Wysokie koszty </w:t>
      </w:r>
      <w:r w:rsidR="00D2440F">
        <w:rPr>
          <w:rFonts w:cs="Calibri"/>
          <w:sz w:val="24"/>
          <w:szCs w:val="24"/>
        </w:rPr>
        <w:t>pozyskania kapitału</w:t>
      </w:r>
      <w:r w:rsidR="00D2440F" w:rsidRPr="00054CBC">
        <w:rPr>
          <w:rFonts w:cs="Calibri"/>
          <w:sz w:val="24"/>
          <w:szCs w:val="24"/>
        </w:rPr>
        <w:t xml:space="preserve"> ograniczają wszystkie </w:t>
      </w:r>
      <w:r w:rsidR="00D2440F">
        <w:rPr>
          <w:rFonts w:cs="Calibri"/>
          <w:sz w:val="24"/>
          <w:szCs w:val="24"/>
        </w:rPr>
        <w:t>rodzaje</w:t>
      </w:r>
      <w:r w:rsidR="00D2440F" w:rsidRPr="00054CBC">
        <w:rPr>
          <w:rFonts w:cs="Calibri"/>
          <w:sz w:val="24"/>
          <w:szCs w:val="24"/>
        </w:rPr>
        <w:t xml:space="preserve"> instrumentów finansowych krótkoterminowych, nie tylko faktoring. T</w:t>
      </w:r>
      <w:r w:rsidR="00D2440F">
        <w:rPr>
          <w:rFonts w:cs="Calibri"/>
          <w:sz w:val="24"/>
          <w:szCs w:val="24"/>
        </w:rPr>
        <w:t>a</w:t>
      </w:r>
      <w:r w:rsidR="00D2440F" w:rsidRPr="00054CBC">
        <w:rPr>
          <w:rFonts w:cs="Calibri"/>
          <w:sz w:val="24"/>
          <w:szCs w:val="24"/>
        </w:rPr>
        <w:t xml:space="preserve"> </w:t>
      </w:r>
      <w:r w:rsidR="00D2440F">
        <w:rPr>
          <w:rFonts w:cs="Calibri"/>
          <w:sz w:val="24"/>
          <w:szCs w:val="24"/>
        </w:rPr>
        <w:t>konfiguracja</w:t>
      </w:r>
      <w:r w:rsidR="00D2440F" w:rsidRPr="00054CBC">
        <w:rPr>
          <w:rFonts w:cs="Calibri"/>
          <w:sz w:val="24"/>
          <w:szCs w:val="24"/>
        </w:rPr>
        <w:t xml:space="preserve"> czynników sprawia, że branża faktoringowa rośnie niewspółmiernie do realnych potrzeb przedsiębiorców. Wzrost rynku na poziomie 27% w 2022 roku koresponduje</w:t>
      </w:r>
      <w:r w:rsidR="00D2440F">
        <w:rPr>
          <w:rFonts w:cs="Calibri"/>
          <w:sz w:val="24"/>
          <w:szCs w:val="24"/>
        </w:rPr>
        <w:t xml:space="preserve"> co </w:t>
      </w:r>
      <w:r w:rsidR="00D2440F">
        <w:rPr>
          <w:rFonts w:cs="Calibri"/>
          <w:sz w:val="24"/>
          <w:szCs w:val="24"/>
        </w:rPr>
        <w:lastRenderedPageBreak/>
        <w:t>prawda</w:t>
      </w:r>
      <w:r w:rsidR="00D2440F" w:rsidRPr="00054CBC">
        <w:rPr>
          <w:rFonts w:cs="Calibri"/>
          <w:sz w:val="24"/>
          <w:szCs w:val="24"/>
        </w:rPr>
        <w:t xml:space="preserve"> z trendami w całej Unii Europejskiej (20%), jednak w bieżącym roku należy spodziewać </w:t>
      </w:r>
      <w:r w:rsidR="00D2440F">
        <w:rPr>
          <w:rFonts w:cs="Calibri"/>
          <w:sz w:val="24"/>
          <w:szCs w:val="24"/>
        </w:rPr>
        <w:t xml:space="preserve">się </w:t>
      </w:r>
      <w:r w:rsidR="00D2440F" w:rsidRPr="00054CBC">
        <w:rPr>
          <w:rFonts w:cs="Calibri"/>
          <w:sz w:val="24"/>
          <w:szCs w:val="24"/>
        </w:rPr>
        <w:t>wzrost</w:t>
      </w:r>
      <w:r w:rsidR="00D2440F">
        <w:rPr>
          <w:rFonts w:cs="Calibri"/>
          <w:sz w:val="24"/>
          <w:szCs w:val="24"/>
        </w:rPr>
        <w:t>ów raczej</w:t>
      </w:r>
      <w:r w:rsidR="00D2440F" w:rsidRPr="00054CBC">
        <w:rPr>
          <w:rFonts w:cs="Calibri"/>
          <w:sz w:val="24"/>
          <w:szCs w:val="24"/>
        </w:rPr>
        <w:t xml:space="preserve"> w ujęciu wartościowym</w:t>
      </w:r>
      <w:r w:rsidR="00D2440F">
        <w:rPr>
          <w:rFonts w:cs="Calibri"/>
          <w:sz w:val="24"/>
          <w:szCs w:val="24"/>
        </w:rPr>
        <w:t>, kwotowym</w:t>
      </w:r>
      <w:r w:rsidR="00D2440F" w:rsidRPr="00054CBC">
        <w:rPr>
          <w:rFonts w:cs="Calibri"/>
          <w:sz w:val="24"/>
          <w:szCs w:val="24"/>
        </w:rPr>
        <w:t>. Istotnie rośnie</w:t>
      </w:r>
      <w:r w:rsidR="00D2440F">
        <w:rPr>
          <w:rFonts w:cs="Calibri"/>
          <w:sz w:val="24"/>
          <w:szCs w:val="24"/>
        </w:rPr>
        <w:t xml:space="preserve"> także</w:t>
      </w:r>
      <w:r w:rsidR="00D2440F" w:rsidRPr="00054CBC">
        <w:rPr>
          <w:rFonts w:cs="Calibri"/>
          <w:sz w:val="24"/>
          <w:szCs w:val="24"/>
        </w:rPr>
        <w:t xml:space="preserve"> zapotrzebowanie firm na bezpieczeństwo </w:t>
      </w:r>
      <w:r w:rsidR="00D2440F">
        <w:rPr>
          <w:rFonts w:cs="Calibri"/>
          <w:sz w:val="24"/>
          <w:szCs w:val="24"/>
        </w:rPr>
        <w:t>–</w:t>
      </w:r>
      <w:r w:rsidR="00D2440F" w:rsidRPr="00054CBC">
        <w:rPr>
          <w:rFonts w:cs="Calibri"/>
          <w:sz w:val="24"/>
          <w:szCs w:val="24"/>
        </w:rPr>
        <w:t xml:space="preserve"> usługi faktoringowe z ubezpieczeniem należności. </w:t>
      </w:r>
    </w:p>
    <w:p w14:paraId="6ED0B251" w14:textId="77777777" w:rsid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5378B08E" w14:textId="2AEA182F" w:rsidR="00DF7DE1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  <w:lang w:val="pl"/>
        </w:rPr>
      </w:pPr>
      <w:r w:rsidRPr="00054CBC">
        <w:rPr>
          <w:rFonts w:cs="Calibri"/>
          <w:sz w:val="24"/>
          <w:szCs w:val="24"/>
        </w:rPr>
        <w:t xml:space="preserve">Rosnące obciążenia związane z prowadzeniem działalności, galopująca inflacja i wzrost kosztów dostępu do finansowania stanowią ogromne wyzwanie tak dla przedsiębiorców, jak i firm oferujących instrumenty finansowe. Niepokoić powinien także fakt, że psuje się jakość płatnicza </w:t>
      </w:r>
      <w:r>
        <w:rPr>
          <w:rFonts w:cs="Calibri"/>
          <w:sz w:val="24"/>
          <w:szCs w:val="24"/>
        </w:rPr>
        <w:t>–</w:t>
      </w:r>
      <w:r w:rsidRPr="00054CBC">
        <w:rPr>
          <w:rFonts w:cs="Calibri"/>
          <w:sz w:val="24"/>
          <w:szCs w:val="24"/>
        </w:rPr>
        <w:t xml:space="preserve"> brak płynności finansowej firm staje się poważnym zagrożeniem dla całej gospodarki. </w:t>
      </w:r>
    </w:p>
    <w:p w14:paraId="51AFBB39" w14:textId="77777777" w:rsidR="00D2440F" w:rsidRPr="00D2440F" w:rsidRDefault="00D2440F" w:rsidP="00D2440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  <w:lang w:val="pl"/>
        </w:rPr>
      </w:pPr>
    </w:p>
    <w:p w14:paraId="19C016DC" w14:textId="77777777" w:rsidR="007C430C" w:rsidRPr="007C430C" w:rsidRDefault="007C430C" w:rsidP="00285523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285523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96B2" w14:textId="77777777" w:rsidR="00760E72" w:rsidRDefault="00760E72" w:rsidP="007C430C">
      <w:pPr>
        <w:spacing w:after="0" w:line="240" w:lineRule="auto"/>
      </w:pPr>
      <w:r>
        <w:separator/>
      </w:r>
    </w:p>
  </w:endnote>
  <w:endnote w:type="continuationSeparator" w:id="0">
    <w:p w14:paraId="0FF4244D" w14:textId="77777777" w:rsidR="00760E72" w:rsidRDefault="00760E72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8523" w14:textId="77777777" w:rsidR="00760E72" w:rsidRDefault="00760E72" w:rsidP="007C430C">
      <w:pPr>
        <w:spacing w:after="0" w:line="240" w:lineRule="auto"/>
      </w:pPr>
      <w:r>
        <w:separator/>
      </w:r>
    </w:p>
  </w:footnote>
  <w:footnote w:type="continuationSeparator" w:id="0">
    <w:p w14:paraId="107C2DEA" w14:textId="77777777" w:rsidR="00760E72" w:rsidRDefault="00760E72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187"/>
    <w:rsid w:val="000E0E4F"/>
    <w:rsid w:val="0010191C"/>
    <w:rsid w:val="001021FC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2070FE"/>
    <w:rsid w:val="00216D49"/>
    <w:rsid w:val="0022109C"/>
    <w:rsid w:val="002231DA"/>
    <w:rsid w:val="00232AE6"/>
    <w:rsid w:val="00285523"/>
    <w:rsid w:val="002923D2"/>
    <w:rsid w:val="002938B1"/>
    <w:rsid w:val="002A3F41"/>
    <w:rsid w:val="002B02AD"/>
    <w:rsid w:val="002B10F8"/>
    <w:rsid w:val="00315304"/>
    <w:rsid w:val="003201AB"/>
    <w:rsid w:val="00327202"/>
    <w:rsid w:val="00346382"/>
    <w:rsid w:val="003469BC"/>
    <w:rsid w:val="00351246"/>
    <w:rsid w:val="00352BEF"/>
    <w:rsid w:val="00377188"/>
    <w:rsid w:val="003C101F"/>
    <w:rsid w:val="003D667F"/>
    <w:rsid w:val="00432FAD"/>
    <w:rsid w:val="00440995"/>
    <w:rsid w:val="004E4F10"/>
    <w:rsid w:val="004F6904"/>
    <w:rsid w:val="00511FA8"/>
    <w:rsid w:val="00512E82"/>
    <w:rsid w:val="00534301"/>
    <w:rsid w:val="00560E4B"/>
    <w:rsid w:val="005618DA"/>
    <w:rsid w:val="005E48E2"/>
    <w:rsid w:val="005F50C8"/>
    <w:rsid w:val="005F6A32"/>
    <w:rsid w:val="00634120"/>
    <w:rsid w:val="0066613A"/>
    <w:rsid w:val="0069585A"/>
    <w:rsid w:val="006C491D"/>
    <w:rsid w:val="006D0730"/>
    <w:rsid w:val="00700A11"/>
    <w:rsid w:val="00730A60"/>
    <w:rsid w:val="007405E4"/>
    <w:rsid w:val="00760E72"/>
    <w:rsid w:val="00764C2E"/>
    <w:rsid w:val="00772BEE"/>
    <w:rsid w:val="0078721D"/>
    <w:rsid w:val="007A5718"/>
    <w:rsid w:val="007A7ECA"/>
    <w:rsid w:val="007C430C"/>
    <w:rsid w:val="007E1739"/>
    <w:rsid w:val="00811EBB"/>
    <w:rsid w:val="0081421D"/>
    <w:rsid w:val="008457E7"/>
    <w:rsid w:val="00861F1B"/>
    <w:rsid w:val="0090387E"/>
    <w:rsid w:val="00915A30"/>
    <w:rsid w:val="00946C7B"/>
    <w:rsid w:val="00993314"/>
    <w:rsid w:val="009B1B51"/>
    <w:rsid w:val="00A07567"/>
    <w:rsid w:val="00A15E5D"/>
    <w:rsid w:val="00A7174B"/>
    <w:rsid w:val="00A87C9D"/>
    <w:rsid w:val="00A9551C"/>
    <w:rsid w:val="00AF60B7"/>
    <w:rsid w:val="00B12F51"/>
    <w:rsid w:val="00B43AB5"/>
    <w:rsid w:val="00B5577E"/>
    <w:rsid w:val="00B62536"/>
    <w:rsid w:val="00B67768"/>
    <w:rsid w:val="00B8501D"/>
    <w:rsid w:val="00BC4CCD"/>
    <w:rsid w:val="00BE6D57"/>
    <w:rsid w:val="00BF3867"/>
    <w:rsid w:val="00BF6AD9"/>
    <w:rsid w:val="00BF7B67"/>
    <w:rsid w:val="00C13DDA"/>
    <w:rsid w:val="00C56CCC"/>
    <w:rsid w:val="00C82989"/>
    <w:rsid w:val="00CE7194"/>
    <w:rsid w:val="00D016B7"/>
    <w:rsid w:val="00D2440F"/>
    <w:rsid w:val="00D77924"/>
    <w:rsid w:val="00D93D7A"/>
    <w:rsid w:val="00DE0E30"/>
    <w:rsid w:val="00DF7DE1"/>
    <w:rsid w:val="00E01684"/>
    <w:rsid w:val="00E30266"/>
    <w:rsid w:val="00E84B44"/>
    <w:rsid w:val="00E8554B"/>
    <w:rsid w:val="00EB035D"/>
    <w:rsid w:val="00EF27D2"/>
    <w:rsid w:val="00EF538D"/>
    <w:rsid w:val="00F0114B"/>
    <w:rsid w:val="00F128FE"/>
    <w:rsid w:val="00F17CA1"/>
    <w:rsid w:val="00F30D5E"/>
    <w:rsid w:val="00F509B5"/>
    <w:rsid w:val="00F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6</cp:revision>
  <dcterms:created xsi:type="dcterms:W3CDTF">2023-06-02T14:26:00Z</dcterms:created>
  <dcterms:modified xsi:type="dcterms:W3CDTF">2023-06-05T15:34:00Z</dcterms:modified>
</cp:coreProperties>
</file>